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E54" w:rsidRDefault="00D64E54" w:rsidP="00D64E54">
      <w:pPr>
        <w:ind w:right="-569"/>
        <w:jc w:val="both"/>
        <w:rPr>
          <w:rFonts w:ascii="TimesNewRomanPSMT" w:eastAsiaTheme="minorHAnsi" w:hAnsi="TimesNewRomanPSMT" w:cs="TimesNewRomanPSMT"/>
          <w:color w:val="auto"/>
          <w:lang w:eastAsia="en-US"/>
        </w:rPr>
      </w:pPr>
    </w:p>
    <w:p w:rsidR="00BE637D" w:rsidRDefault="00F039D8" w:rsidP="00BE637D">
      <w:pPr>
        <w:ind w:right="-569"/>
        <w:jc w:val="center"/>
      </w:pPr>
      <w:r>
        <w:object w:dxaOrig="2790" w:dyaOrig="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87pt" o:ole="">
            <v:imagedata r:id="rId5" o:title=""/>
          </v:shape>
          <o:OLEObject Type="Embed" ProgID="PBrush" ShapeID="_x0000_i1025" DrawAspect="Content" ObjectID="_1639903405" r:id="rId6"/>
        </w:object>
      </w:r>
    </w:p>
    <w:p w:rsidR="001B2124" w:rsidRDefault="001B2124" w:rsidP="00BE637D">
      <w:pPr>
        <w:autoSpaceDE w:val="0"/>
        <w:autoSpaceDN w:val="0"/>
        <w:adjustRightInd w:val="0"/>
        <w:spacing w:after="0" w:line="240" w:lineRule="auto"/>
        <w:jc w:val="both"/>
        <w:rPr>
          <w:rFonts w:ascii="TimesNewRomanPS-BoldMT" w:eastAsiaTheme="minorHAnsi" w:hAnsi="TimesNewRomanPS-BoldMT" w:cs="TimesNewRomanPS-BoldMT"/>
          <w:b/>
          <w:bCs/>
          <w:color w:val="auto"/>
          <w:sz w:val="24"/>
          <w:szCs w:val="24"/>
          <w:lang w:eastAsia="en-US"/>
        </w:rPr>
      </w:pPr>
      <w:r>
        <w:rPr>
          <w:rFonts w:ascii="TimesNewRomanPSMT" w:eastAsiaTheme="minorHAnsi" w:hAnsi="TimesNewRomanPSMT" w:cs="TimesNewRomanPSMT"/>
          <w:color w:val="auto"/>
          <w:sz w:val="24"/>
          <w:szCs w:val="24"/>
          <w:lang w:eastAsia="en-US"/>
        </w:rPr>
        <w:t xml:space="preserve">Üniversite Yönetim Kurulunca </w:t>
      </w:r>
      <w:r w:rsidR="00BE637D">
        <w:rPr>
          <w:rFonts w:ascii="TimesNewRomanPSMT" w:eastAsiaTheme="minorHAnsi" w:hAnsi="TimesNewRomanPSMT" w:cs="TimesNewRomanPSMT"/>
          <w:color w:val="auto"/>
          <w:sz w:val="24"/>
          <w:szCs w:val="24"/>
          <w:lang w:eastAsia="en-US"/>
        </w:rPr>
        <w:t>Sağlık</w:t>
      </w:r>
      <w:r w:rsidR="00BE637D">
        <w:rPr>
          <w:rFonts w:ascii="TimesNewRomanPSMT" w:eastAsiaTheme="minorHAnsi" w:hAnsi="TimesNewRomanPSMT" w:cs="TimesNewRomanPSMT"/>
          <w:color w:val="auto"/>
          <w:sz w:val="24"/>
          <w:szCs w:val="24"/>
          <w:lang w:eastAsia="en-US"/>
        </w:rPr>
        <w:t xml:space="preserve"> </w:t>
      </w:r>
      <w:r w:rsidR="00BE637D">
        <w:rPr>
          <w:rFonts w:ascii="TimesNewRomanPSMT" w:eastAsiaTheme="minorHAnsi" w:hAnsi="TimesNewRomanPSMT" w:cs="TimesNewRomanPSMT"/>
          <w:color w:val="auto"/>
          <w:sz w:val="24"/>
          <w:szCs w:val="24"/>
          <w:lang w:eastAsia="en-US"/>
        </w:rPr>
        <w:t xml:space="preserve">Bilimleri Enstitüsü İkinci Öğretim Tezsiz Yüksek Lisans Programlarında </w:t>
      </w:r>
      <w:r w:rsidR="00BE637D">
        <w:rPr>
          <w:rFonts w:ascii="TimesNewRomanPS-BoldMT" w:eastAsiaTheme="minorHAnsi" w:hAnsi="TimesNewRomanPS-BoldMT" w:cs="TimesNewRomanPS-BoldMT"/>
          <w:b/>
          <w:bCs/>
          <w:color w:val="auto"/>
          <w:sz w:val="24"/>
          <w:szCs w:val="24"/>
          <w:lang w:eastAsia="en-US"/>
        </w:rPr>
        <w:t>kayıtlı öğrencilerin haklarının</w:t>
      </w:r>
      <w:r w:rsidR="00BE637D">
        <w:rPr>
          <w:rFonts w:ascii="TimesNewRomanPSMT" w:eastAsiaTheme="minorHAnsi" w:hAnsi="TimesNewRomanPSMT" w:cs="TimesNewRomanPSMT"/>
          <w:color w:val="auto"/>
          <w:sz w:val="24"/>
          <w:szCs w:val="24"/>
          <w:lang w:eastAsia="en-US"/>
        </w:rPr>
        <w:t xml:space="preserve"> </w:t>
      </w:r>
      <w:r w:rsidR="00BE637D">
        <w:rPr>
          <w:rFonts w:ascii="TimesNewRomanPS-BoldMT" w:eastAsiaTheme="minorHAnsi" w:hAnsi="TimesNewRomanPS-BoldMT" w:cs="TimesNewRomanPS-BoldMT"/>
          <w:b/>
          <w:bCs/>
          <w:color w:val="auto"/>
          <w:sz w:val="24"/>
          <w:szCs w:val="24"/>
          <w:lang w:eastAsia="en-US"/>
        </w:rPr>
        <w:t xml:space="preserve">saklı kalması koşulu ile </w:t>
      </w:r>
      <w:r w:rsidR="00BE637D">
        <w:rPr>
          <w:rFonts w:ascii="TimesNewRomanPSMT" w:eastAsiaTheme="minorHAnsi" w:hAnsi="TimesNewRomanPSMT" w:cs="TimesNewRomanPSMT"/>
          <w:color w:val="auto"/>
          <w:sz w:val="24"/>
          <w:szCs w:val="24"/>
          <w:lang w:eastAsia="en-US"/>
        </w:rPr>
        <w:t xml:space="preserve">Üniversite Yönetim Kurulunun 03.09.2018 tarih ve 2018/27-21 </w:t>
      </w:r>
      <w:proofErr w:type="spellStart"/>
      <w:r w:rsidR="00BE637D">
        <w:rPr>
          <w:rFonts w:ascii="TimesNewRomanPSMT" w:eastAsiaTheme="minorHAnsi" w:hAnsi="TimesNewRomanPSMT" w:cs="TimesNewRomanPSMT"/>
          <w:color w:val="auto"/>
          <w:sz w:val="24"/>
          <w:szCs w:val="24"/>
          <w:lang w:eastAsia="en-US"/>
        </w:rPr>
        <w:t>nolu</w:t>
      </w:r>
      <w:proofErr w:type="spellEnd"/>
      <w:r w:rsidR="00BE637D">
        <w:rPr>
          <w:rFonts w:ascii="TimesNewRomanPSMT" w:eastAsiaTheme="minorHAnsi" w:hAnsi="TimesNewRomanPSMT" w:cs="TimesNewRomanPSMT"/>
          <w:color w:val="auto"/>
          <w:sz w:val="24"/>
          <w:szCs w:val="24"/>
          <w:lang w:eastAsia="en-US"/>
        </w:rPr>
        <w:t xml:space="preserve"> kararı ile</w:t>
      </w:r>
      <w:r w:rsidR="00BE637D">
        <w:rPr>
          <w:rFonts w:ascii="TimesNewRomanPSMT" w:eastAsiaTheme="minorHAnsi" w:hAnsi="TimesNewRomanPSMT" w:cs="TimesNewRomanPSMT"/>
          <w:color w:val="auto"/>
          <w:sz w:val="24"/>
          <w:szCs w:val="24"/>
          <w:lang w:eastAsia="en-US"/>
        </w:rPr>
        <w:t xml:space="preserve"> </w:t>
      </w:r>
      <w:r w:rsidR="00BE637D">
        <w:rPr>
          <w:rFonts w:ascii="TimesNewRomanPSMT" w:eastAsiaTheme="minorHAnsi" w:hAnsi="TimesNewRomanPSMT" w:cs="TimesNewRomanPSMT"/>
          <w:color w:val="auto"/>
          <w:sz w:val="24"/>
          <w:szCs w:val="24"/>
          <w:lang w:eastAsia="en-US"/>
        </w:rPr>
        <w:t xml:space="preserve">uygulamaya geçen </w:t>
      </w:r>
      <w:r w:rsidR="00BE637D">
        <w:rPr>
          <w:rFonts w:ascii="TimesNewRomanPS-BoldMT" w:eastAsiaTheme="minorHAnsi" w:hAnsi="TimesNewRomanPS-BoldMT" w:cs="TimesNewRomanPS-BoldMT"/>
          <w:b/>
          <w:bCs/>
          <w:color w:val="auto"/>
          <w:sz w:val="24"/>
          <w:szCs w:val="24"/>
          <w:lang w:eastAsia="en-US"/>
        </w:rPr>
        <w:t>paket</w:t>
      </w:r>
      <w:r w:rsidR="00BE637D">
        <w:rPr>
          <w:rFonts w:ascii="TimesNewRomanPS-BoldMT" w:eastAsiaTheme="minorHAnsi" w:hAnsi="TimesNewRomanPS-BoldMT" w:cs="TimesNewRomanPS-BoldMT"/>
          <w:b/>
          <w:bCs/>
          <w:color w:val="auto"/>
          <w:sz w:val="24"/>
          <w:szCs w:val="24"/>
          <w:lang w:eastAsia="en-US"/>
        </w:rPr>
        <w:t xml:space="preserve"> </w:t>
      </w:r>
      <w:r w:rsidR="00BE637D">
        <w:rPr>
          <w:rFonts w:ascii="TimesNewRomanPS-BoldMT" w:eastAsiaTheme="minorHAnsi" w:hAnsi="TimesNewRomanPS-BoldMT" w:cs="TimesNewRomanPS-BoldMT"/>
          <w:b/>
          <w:bCs/>
          <w:color w:val="auto"/>
          <w:sz w:val="24"/>
          <w:szCs w:val="24"/>
          <w:lang w:eastAsia="en-US"/>
        </w:rPr>
        <w:t>program ücreti iptal edilm</w:t>
      </w:r>
      <w:r>
        <w:rPr>
          <w:rFonts w:ascii="TimesNewRomanPS-BoldMT" w:eastAsiaTheme="minorHAnsi" w:hAnsi="TimesNewRomanPS-BoldMT" w:cs="TimesNewRomanPS-BoldMT"/>
          <w:b/>
          <w:bCs/>
          <w:color w:val="auto"/>
          <w:sz w:val="24"/>
          <w:szCs w:val="24"/>
          <w:lang w:eastAsia="en-US"/>
        </w:rPr>
        <w:t>iştir.</w:t>
      </w:r>
      <w:r w:rsidR="00BE637D">
        <w:rPr>
          <w:rFonts w:ascii="TimesNewRomanPS-BoldMT" w:eastAsiaTheme="minorHAnsi" w:hAnsi="TimesNewRomanPS-BoldMT" w:cs="TimesNewRomanPS-BoldMT"/>
          <w:b/>
          <w:bCs/>
          <w:color w:val="auto"/>
          <w:sz w:val="24"/>
          <w:szCs w:val="24"/>
          <w:lang w:eastAsia="en-US"/>
        </w:rPr>
        <w:t xml:space="preserve"> </w:t>
      </w:r>
    </w:p>
    <w:p w:rsidR="00BE637D" w:rsidRDefault="00BE637D"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r>
        <w:rPr>
          <w:rFonts w:ascii="TimesNewRomanPS-BoldMT" w:eastAsiaTheme="minorHAnsi" w:hAnsi="TimesNewRomanPS-BoldMT" w:cs="TimesNewRomanPS-BoldMT"/>
          <w:b/>
          <w:bCs/>
          <w:color w:val="auto"/>
          <w:sz w:val="24"/>
          <w:szCs w:val="24"/>
          <w:lang w:eastAsia="en-US"/>
        </w:rPr>
        <w:t>2019-2020 eğitim öğretim yılı bahar</w:t>
      </w:r>
      <w:r>
        <w:rPr>
          <w:rFonts w:ascii="TimesNewRomanPSMT" w:eastAsiaTheme="minorHAnsi" w:hAnsi="TimesNewRomanPSMT" w:cs="TimesNewRomanPSMT"/>
          <w:color w:val="auto"/>
          <w:sz w:val="24"/>
          <w:szCs w:val="24"/>
          <w:lang w:eastAsia="en-US"/>
        </w:rPr>
        <w:t xml:space="preserve"> </w:t>
      </w:r>
      <w:r>
        <w:rPr>
          <w:rFonts w:ascii="TimesNewRomanPS-BoldMT" w:eastAsiaTheme="minorHAnsi" w:hAnsi="TimesNewRomanPS-BoldMT" w:cs="TimesNewRomanPS-BoldMT"/>
          <w:b/>
          <w:bCs/>
          <w:color w:val="auto"/>
          <w:sz w:val="24"/>
          <w:szCs w:val="24"/>
          <w:lang w:eastAsia="en-US"/>
        </w:rPr>
        <w:t>yarıyılından itibaren tüm tezsiz yüksek lisans ders ücretlerinin kredi başına 250 TL olarak</w:t>
      </w:r>
      <w:r>
        <w:rPr>
          <w:rFonts w:ascii="TimesNewRomanPSMT" w:eastAsiaTheme="minorHAnsi" w:hAnsi="TimesNewRomanPSMT" w:cs="TimesNewRomanPSMT"/>
          <w:color w:val="auto"/>
          <w:sz w:val="24"/>
          <w:szCs w:val="24"/>
          <w:lang w:eastAsia="en-US"/>
        </w:rPr>
        <w:t xml:space="preserve"> </w:t>
      </w:r>
      <w:r>
        <w:rPr>
          <w:rFonts w:ascii="TimesNewRomanPS-BoldMT" w:eastAsiaTheme="minorHAnsi" w:hAnsi="TimesNewRomanPS-BoldMT" w:cs="TimesNewRomanPS-BoldMT"/>
          <w:b/>
          <w:bCs/>
          <w:color w:val="auto"/>
          <w:sz w:val="24"/>
          <w:szCs w:val="24"/>
          <w:lang w:eastAsia="en-US"/>
        </w:rPr>
        <w:t xml:space="preserve">belirlenmesine </w:t>
      </w:r>
      <w:r>
        <w:rPr>
          <w:rFonts w:ascii="TimesNewRomanPSMT" w:eastAsiaTheme="minorHAnsi" w:hAnsi="TimesNewRomanPSMT" w:cs="TimesNewRomanPSMT"/>
          <w:color w:val="auto"/>
          <w:sz w:val="24"/>
          <w:szCs w:val="24"/>
          <w:lang w:eastAsia="en-US"/>
        </w:rPr>
        <w:t>karar veril</w:t>
      </w:r>
      <w:r w:rsidR="001B2124">
        <w:rPr>
          <w:rFonts w:ascii="TimesNewRomanPSMT" w:eastAsiaTheme="minorHAnsi" w:hAnsi="TimesNewRomanPSMT" w:cs="TimesNewRomanPSMT"/>
          <w:color w:val="auto"/>
          <w:sz w:val="24"/>
          <w:szCs w:val="24"/>
          <w:lang w:eastAsia="en-US"/>
        </w:rPr>
        <w:t>miştir.</w:t>
      </w:r>
    </w:p>
    <w:p w:rsidR="00BE637D" w:rsidRDefault="00BE637D"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p>
    <w:p w:rsidR="001B2124" w:rsidRDefault="001B2124"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p>
    <w:p w:rsidR="00BE637D" w:rsidRDefault="00BE637D"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p>
    <w:p w:rsidR="001B2124" w:rsidRDefault="001B2124" w:rsidP="001B2124">
      <w:pPr>
        <w:pStyle w:val="ortabalkbold"/>
        <w:spacing w:before="0" w:beforeAutospacing="0" w:after="0" w:afterAutospacing="0" w:line="240" w:lineRule="atLeast"/>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      </w:t>
      </w:r>
    </w:p>
    <w:p w:rsidR="001B2124" w:rsidRPr="001B2124" w:rsidRDefault="001B2124" w:rsidP="001B2124">
      <w:pPr>
        <w:pStyle w:val="ortabalkbold"/>
        <w:spacing w:before="0" w:beforeAutospacing="0" w:after="0" w:afterAutospacing="0" w:line="240" w:lineRule="atLeast"/>
        <w:jc w:val="center"/>
        <w:rPr>
          <w:b/>
          <w:bCs/>
          <w:color w:val="000000"/>
        </w:rPr>
      </w:pPr>
      <w:bookmarkStart w:id="0" w:name="_GoBack"/>
      <w:bookmarkEnd w:id="0"/>
      <w:r w:rsidRPr="001B2124">
        <w:rPr>
          <w:rFonts w:eastAsiaTheme="minorHAnsi"/>
          <w:b/>
          <w:lang w:eastAsia="en-US"/>
        </w:rPr>
        <w:t>TEZSİZ YÜKSEK LİSANS İLE İLGİLİ</w:t>
      </w:r>
      <w:r w:rsidRPr="001B2124">
        <w:rPr>
          <w:rFonts w:eastAsiaTheme="minorHAnsi"/>
          <w:lang w:eastAsia="en-US"/>
        </w:rPr>
        <w:t xml:space="preserve"> </w:t>
      </w:r>
      <w:r w:rsidRPr="001B2124">
        <w:rPr>
          <w:b/>
          <w:bCs/>
          <w:color w:val="000000"/>
        </w:rPr>
        <w:t>MANİSA CELAL BAYAR ÜNİVERSİTESİ LİSANSÜSTÜ EĞİTİM</w:t>
      </w:r>
      <w:r>
        <w:rPr>
          <w:b/>
          <w:bCs/>
          <w:color w:val="000000"/>
        </w:rPr>
        <w:t xml:space="preserve"> </w:t>
      </w:r>
      <w:r w:rsidRPr="001B2124">
        <w:rPr>
          <w:b/>
          <w:bCs/>
          <w:color w:val="000000"/>
        </w:rPr>
        <w:t>VE ÖĞRETİM YÖNETMELİĞİ</w:t>
      </w:r>
      <w:r w:rsidRPr="001B2124">
        <w:rPr>
          <w:b/>
          <w:bCs/>
          <w:color w:val="000000"/>
        </w:rPr>
        <w:t>N</w:t>
      </w:r>
      <w:r>
        <w:rPr>
          <w:b/>
          <w:bCs/>
          <w:color w:val="000000"/>
        </w:rPr>
        <w:t>DEKİ MADDELER</w:t>
      </w:r>
    </w:p>
    <w:p w:rsidR="00BE637D" w:rsidRDefault="00BE637D"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b/>
          <w:bCs/>
          <w:color w:val="000000"/>
        </w:rPr>
        <w:t>Tezsiz yüksek lisans programı</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b/>
          <w:bCs/>
          <w:color w:val="000000"/>
        </w:rPr>
        <w:t>MADDE 11 –</w:t>
      </w:r>
      <w:r w:rsidRPr="00DE39A1">
        <w:rPr>
          <w:rStyle w:val="apple-converted-space"/>
          <w:color w:val="000000"/>
        </w:rPr>
        <w:t> </w:t>
      </w:r>
      <w:r w:rsidRPr="00DE39A1">
        <w:rPr>
          <w:color w:val="000000"/>
        </w:rPr>
        <w:t>(1) Tezsiz yüksek lisans programı, öğrenciye mesleki konularda bilgi kazandırarak mevcut bilginin uygulamada nasıl kullanılacağını gösterir.</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color w:val="000000"/>
        </w:rPr>
        <w:t>(2) Tezsiz yüksek lisans programı toplam otuz krediden ve 90</w:t>
      </w:r>
      <w:r w:rsidRPr="00DE39A1">
        <w:rPr>
          <w:rStyle w:val="apple-converted-space"/>
          <w:color w:val="000000"/>
        </w:rPr>
        <w:t> </w:t>
      </w:r>
      <w:proofErr w:type="spellStart"/>
      <w:r w:rsidRPr="00DE39A1">
        <w:rPr>
          <w:rStyle w:val="spelle"/>
          <w:color w:val="000000"/>
        </w:rPr>
        <w:t>AKTS’den</w:t>
      </w:r>
      <w:proofErr w:type="spellEnd"/>
      <w:r w:rsidRPr="00DE39A1">
        <w:rPr>
          <w:rStyle w:val="apple-converted-space"/>
          <w:color w:val="000000"/>
        </w:rPr>
        <w:t> </w:t>
      </w:r>
      <w:r w:rsidRPr="00DE39A1">
        <w:rPr>
          <w:color w:val="000000"/>
        </w:rPr>
        <w:t>az olmamak kaydıyla en az on ders ile dönem projesi dersinden oluşur. Öğrenci, dönem projesi dersinin alındığı yarıyılda dönem projesi dersine kayıt yaptırmak ve yarıyıl sonunda yazılı proje ve/veya rapor vermek zorundadır. Dönem projesi dersi kredisiz olup başarılı veya başarısız olarak değerlendirilir.</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color w:val="000000"/>
        </w:rPr>
        <w:t>(3) Danışman öğretim üyesi teklifi, anabilim/</w:t>
      </w:r>
      <w:proofErr w:type="spellStart"/>
      <w:r w:rsidRPr="00DE39A1">
        <w:rPr>
          <w:rStyle w:val="spelle"/>
          <w:color w:val="000000"/>
        </w:rPr>
        <w:t>anasanat</w:t>
      </w:r>
      <w:proofErr w:type="spellEnd"/>
      <w:r w:rsidRPr="00DE39A1">
        <w:rPr>
          <w:rStyle w:val="apple-converted-space"/>
          <w:color w:val="000000"/>
        </w:rPr>
        <w:t> </w:t>
      </w:r>
      <w:r w:rsidRPr="00DE39A1">
        <w:rPr>
          <w:color w:val="000000"/>
        </w:rPr>
        <w:t>dalı başkanlığının önerisi ve enstitü yönetim kurulu onayı ile öğrencinin alacağı derslerin en çok üçü, lisans öğrenimi sırasında alınmamış olması kaydıyla lisans derslerinden, en fazla iki ders de diğer yükseköğretim kurumlarında verilmekte olan lisansüstü derslerden de seçilebilir.</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color w:val="000000"/>
        </w:rPr>
        <w:t>(4) Tezsiz yüksek lisans programı ikinci öğretimde de yürütülebilir.</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b/>
          <w:bCs/>
          <w:color w:val="000000"/>
        </w:rPr>
        <w:t>Süre</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b/>
          <w:bCs/>
          <w:color w:val="000000"/>
        </w:rPr>
        <w:t>MADDE 12 –</w:t>
      </w:r>
      <w:r w:rsidRPr="00DE39A1">
        <w:rPr>
          <w:rStyle w:val="apple-converted-space"/>
          <w:color w:val="000000"/>
        </w:rPr>
        <w:t> </w:t>
      </w:r>
      <w:r w:rsidRPr="00DE39A1">
        <w:rPr>
          <w:color w:val="000000"/>
        </w:rPr>
        <w:t>(1) Tezsiz yüksek lisans 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enstitü ile ilişiği kesilir.</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b/>
          <w:bCs/>
          <w:color w:val="000000"/>
        </w:rPr>
        <w:t>Danışman atanması</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rStyle w:val="grame"/>
          <w:b/>
          <w:bCs/>
          <w:color w:val="000000"/>
        </w:rPr>
        <w:t>MADDE 13 –</w:t>
      </w:r>
      <w:r w:rsidRPr="00DE39A1">
        <w:rPr>
          <w:rStyle w:val="apple-converted-space"/>
          <w:color w:val="000000"/>
        </w:rPr>
        <w:t> </w:t>
      </w:r>
      <w:r w:rsidRPr="00DE39A1">
        <w:rPr>
          <w:rStyle w:val="grame"/>
          <w:color w:val="000000"/>
        </w:rPr>
        <w:t>(1) Tezsiz yüksek lisans programında ilgili anabilim/</w:t>
      </w:r>
      <w:proofErr w:type="spellStart"/>
      <w:r w:rsidRPr="00DE39A1">
        <w:rPr>
          <w:rStyle w:val="spelle"/>
          <w:color w:val="000000"/>
        </w:rPr>
        <w:t>anasanat</w:t>
      </w:r>
      <w:proofErr w:type="spellEnd"/>
      <w:r w:rsidRPr="00DE39A1">
        <w:rPr>
          <w:rStyle w:val="apple-converted-space"/>
          <w:color w:val="000000"/>
        </w:rPr>
        <w:t> </w:t>
      </w:r>
      <w:r w:rsidRPr="00DE39A1">
        <w:rPr>
          <w:rStyle w:val="grame"/>
          <w:color w:val="000000"/>
        </w:rPr>
        <w:t>dalı kurul kararı ve anabilim/</w:t>
      </w:r>
      <w:proofErr w:type="spellStart"/>
      <w:r w:rsidRPr="00DE39A1">
        <w:rPr>
          <w:rStyle w:val="spelle"/>
          <w:color w:val="000000"/>
        </w:rPr>
        <w:t>anasanat</w:t>
      </w:r>
      <w:proofErr w:type="spellEnd"/>
      <w:r w:rsidRPr="00DE39A1">
        <w:rPr>
          <w:rStyle w:val="apple-converted-space"/>
          <w:color w:val="000000"/>
        </w:rPr>
        <w:t> </w:t>
      </w:r>
      <w:r w:rsidRPr="00DE39A1">
        <w:rPr>
          <w:rStyle w:val="grame"/>
          <w:color w:val="000000"/>
        </w:rPr>
        <w:t>dalı başkanlığı her öğrenci için ders seçiminde ve dönem projesinin yürütülmesinde danışmanlık yapacak bir öğretim üyesi veya doktora derecesine sahip bir öğretim görevlisini en geç birinci yarıyılın sonuna kadar enstitüye önerir ve enstitü yönetim kurulu onayı ile kesinleşir.</w:t>
      </w:r>
      <w:r w:rsidRPr="00DE39A1">
        <w:rPr>
          <w:rStyle w:val="apple-converted-space"/>
          <w:color w:val="000000"/>
        </w:rPr>
        <w:t> </w:t>
      </w:r>
      <w:r w:rsidRPr="00DE39A1">
        <w:rPr>
          <w:color w:val="000000"/>
        </w:rPr>
        <w:t>Danışman atanana kadar danışmanlık görevi anabilim/</w:t>
      </w:r>
      <w:proofErr w:type="spellStart"/>
      <w:r w:rsidRPr="00DE39A1">
        <w:rPr>
          <w:rStyle w:val="spelle"/>
          <w:color w:val="000000"/>
        </w:rPr>
        <w:t>anasanat</w:t>
      </w:r>
      <w:proofErr w:type="spellEnd"/>
      <w:r w:rsidRPr="00DE39A1">
        <w:rPr>
          <w:rStyle w:val="apple-converted-space"/>
          <w:color w:val="000000"/>
        </w:rPr>
        <w:t> </w:t>
      </w:r>
      <w:r w:rsidRPr="00DE39A1">
        <w:rPr>
          <w:color w:val="000000"/>
        </w:rPr>
        <w:t>dalı başkanlığı tarafından yürütülür.</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b/>
          <w:bCs/>
          <w:color w:val="000000"/>
        </w:rPr>
        <w:t>Diploma</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b/>
          <w:bCs/>
          <w:color w:val="000000"/>
        </w:rPr>
        <w:t>MADDE 14 –</w:t>
      </w:r>
      <w:r w:rsidRPr="00DE39A1">
        <w:rPr>
          <w:rStyle w:val="apple-converted-space"/>
          <w:color w:val="000000"/>
        </w:rPr>
        <w:t> </w:t>
      </w:r>
      <w:r w:rsidRPr="00DE39A1">
        <w:rPr>
          <w:color w:val="000000"/>
        </w:rPr>
        <w:t>(1) Kredili derslerini ve dönem projesini başarıyla tamamlayan öğrenci tezsiz yüksek lisans diploması almaya hak kazanır.</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color w:val="000000"/>
        </w:rPr>
        <w:t>(2) Tezsiz yüksek lisans diploması üzerinde öğrencinin kayıtlı olduğu enstitü anabilim/</w:t>
      </w:r>
      <w:proofErr w:type="spellStart"/>
      <w:r w:rsidRPr="00DE39A1">
        <w:rPr>
          <w:rStyle w:val="spelle"/>
          <w:color w:val="000000"/>
        </w:rPr>
        <w:t>anasanat</w:t>
      </w:r>
      <w:proofErr w:type="spellEnd"/>
      <w:r w:rsidRPr="00DE39A1">
        <w:rPr>
          <w:rStyle w:val="apple-converted-space"/>
          <w:color w:val="000000"/>
        </w:rPr>
        <w:t> </w:t>
      </w:r>
      <w:r w:rsidRPr="00DE39A1">
        <w:rPr>
          <w:color w:val="000000"/>
        </w:rPr>
        <w:t>dalındaki programın Yükseköğretim Kurulu tarafından onaylanmış adı bulunur.</w:t>
      </w:r>
    </w:p>
    <w:p w:rsidR="00BE637D" w:rsidRPr="00DE39A1" w:rsidRDefault="00BE637D" w:rsidP="00BE637D">
      <w:pPr>
        <w:pStyle w:val="metin"/>
        <w:spacing w:before="0" w:beforeAutospacing="0" w:after="0" w:afterAutospacing="0" w:line="240" w:lineRule="atLeast"/>
        <w:ind w:firstLine="566"/>
        <w:jc w:val="both"/>
        <w:rPr>
          <w:color w:val="000000"/>
        </w:rPr>
      </w:pPr>
      <w:r w:rsidRPr="00DE39A1">
        <w:rPr>
          <w:color w:val="000000"/>
        </w:rPr>
        <w:lastRenderedPageBreak/>
        <w:t>(3) Tezsiz yüksek lisans programına devam edenler, tezli yüksek lisans programı için belirlenmiş olan asgari şartları yerine getirmek kaydıyla, ilgili enstitünün ilan edeceği kontenjanlar dâhilinde tezli yüksek lisans programına geçiş yapabilirler. İlgili kontenjanlar enstitü kurulunun teklifi ve Senato onayı ile belirlenir. Bu durumda tezsiz yüksek lisans programında alınan dersler anabilim/</w:t>
      </w:r>
      <w:proofErr w:type="spellStart"/>
      <w:r w:rsidRPr="00DE39A1">
        <w:rPr>
          <w:rStyle w:val="spelle"/>
          <w:color w:val="000000"/>
        </w:rPr>
        <w:t>anasanat</w:t>
      </w:r>
      <w:proofErr w:type="spellEnd"/>
      <w:r w:rsidRPr="00DE39A1">
        <w:rPr>
          <w:rStyle w:val="apple-converted-space"/>
          <w:color w:val="000000"/>
        </w:rPr>
        <w:t> </w:t>
      </w:r>
      <w:r w:rsidRPr="00DE39A1">
        <w:rPr>
          <w:color w:val="000000"/>
        </w:rPr>
        <w:t>dalı kurulu önerisi ve enstitü yönetim kurulu kararıyla tezli yüksek lisans programındaki derslerin yerine sayılır. Kontenjandan fazla başvuru olması durumunda öğrencilerin sıralaması</w:t>
      </w:r>
      <w:r w:rsidRPr="00DE39A1">
        <w:rPr>
          <w:rStyle w:val="apple-converted-space"/>
          <w:color w:val="000000"/>
        </w:rPr>
        <w:t> </w:t>
      </w:r>
      <w:r w:rsidRPr="00DE39A1">
        <w:rPr>
          <w:rStyle w:val="spelle"/>
          <w:color w:val="000000"/>
        </w:rPr>
        <w:t>ALES’in</w:t>
      </w:r>
      <w:r w:rsidRPr="00DE39A1">
        <w:rPr>
          <w:color w:val="000000"/>
        </w:rPr>
        <w:t>%50’si ve lisansüstü genel ağırlıklı not ortalamasının (GANO) %50’si dikkate alınarak yapılır.</w:t>
      </w:r>
    </w:p>
    <w:p w:rsidR="00BE637D" w:rsidRDefault="00BE637D"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p>
    <w:p w:rsidR="00BE637D" w:rsidRDefault="00BE637D"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p>
    <w:p w:rsidR="00BE637D" w:rsidRDefault="00BE637D"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p>
    <w:p w:rsidR="00BE637D" w:rsidRDefault="00BE637D"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p>
    <w:p w:rsidR="00BE637D" w:rsidRDefault="00BE637D"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p>
    <w:p w:rsidR="00BE637D" w:rsidRDefault="00BE637D"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p>
    <w:p w:rsidR="00BE637D" w:rsidRPr="00BE637D" w:rsidRDefault="00BE637D" w:rsidP="00BE637D">
      <w:pPr>
        <w:autoSpaceDE w:val="0"/>
        <w:autoSpaceDN w:val="0"/>
        <w:adjustRightInd w:val="0"/>
        <w:spacing w:after="0" w:line="240" w:lineRule="auto"/>
        <w:jc w:val="both"/>
        <w:rPr>
          <w:rFonts w:ascii="TimesNewRomanPSMT" w:eastAsiaTheme="minorHAnsi" w:hAnsi="TimesNewRomanPSMT" w:cs="TimesNewRomanPSMT"/>
          <w:color w:val="auto"/>
          <w:sz w:val="24"/>
          <w:szCs w:val="24"/>
          <w:lang w:eastAsia="en-US"/>
        </w:rPr>
      </w:pPr>
    </w:p>
    <w:sectPr w:rsidR="00BE637D" w:rsidRPr="00BE637D" w:rsidSect="00F13A6B">
      <w:pgSz w:w="11906" w:h="16838"/>
      <w:pgMar w:top="1418" w:right="1418" w:bottom="1418"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11" w:csb1="00000000"/>
  </w:font>
  <w:font w:name="TimesNewRomanPS-BoldMT">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5585A"/>
    <w:multiLevelType w:val="hybridMultilevel"/>
    <w:tmpl w:val="1B947186"/>
    <w:lvl w:ilvl="0" w:tplc="2B50E18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445297"/>
    <w:multiLevelType w:val="hybridMultilevel"/>
    <w:tmpl w:val="194AAB90"/>
    <w:lvl w:ilvl="0" w:tplc="1174CE6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6B8262D"/>
    <w:multiLevelType w:val="hybridMultilevel"/>
    <w:tmpl w:val="067652D6"/>
    <w:lvl w:ilvl="0" w:tplc="19B6ABC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434"/>
    <w:rsid w:val="000E2901"/>
    <w:rsid w:val="00170BF5"/>
    <w:rsid w:val="00175E10"/>
    <w:rsid w:val="001B2124"/>
    <w:rsid w:val="003E2DE7"/>
    <w:rsid w:val="0053771F"/>
    <w:rsid w:val="007607E3"/>
    <w:rsid w:val="00887C7F"/>
    <w:rsid w:val="00A66434"/>
    <w:rsid w:val="00BE637D"/>
    <w:rsid w:val="00D64E54"/>
    <w:rsid w:val="00F039D8"/>
    <w:rsid w:val="00F13247"/>
    <w:rsid w:val="00F13A6B"/>
    <w:rsid w:val="00F534F6"/>
    <w:rsid w:val="00FD5D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ECC1"/>
  <w15:chartTrackingRefBased/>
  <w15:docId w15:val="{0697B57D-4ECA-48A5-ADED-A1C775BC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4F6"/>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F534F6"/>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F534F6"/>
    <w:pPr>
      <w:spacing w:after="0" w:line="240" w:lineRule="auto"/>
    </w:pPr>
    <w:rPr>
      <w:rFonts w:ascii="Calibri" w:eastAsia="Calibri" w:hAnsi="Calibri" w:cs="Calibri"/>
      <w:color w:val="000000"/>
      <w:lang w:eastAsia="tr-TR"/>
    </w:rPr>
  </w:style>
  <w:style w:type="paragraph" w:styleId="ListeParagraf">
    <w:name w:val="List Paragraph"/>
    <w:basedOn w:val="Normal"/>
    <w:uiPriority w:val="34"/>
    <w:qFormat/>
    <w:rsid w:val="00170BF5"/>
    <w:pPr>
      <w:ind w:left="720"/>
      <w:contextualSpacing/>
    </w:pPr>
  </w:style>
  <w:style w:type="paragraph" w:customStyle="1" w:styleId="metin">
    <w:name w:val="metin"/>
    <w:basedOn w:val="Normal"/>
    <w:rsid w:val="00BE637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VarsaylanParagrafYazTipi"/>
    <w:rsid w:val="00BE637D"/>
  </w:style>
  <w:style w:type="character" w:customStyle="1" w:styleId="grame">
    <w:name w:val="grame"/>
    <w:basedOn w:val="VarsaylanParagrafYazTipi"/>
    <w:rsid w:val="00BE637D"/>
  </w:style>
  <w:style w:type="character" w:customStyle="1" w:styleId="spelle">
    <w:name w:val="spelle"/>
    <w:basedOn w:val="VarsaylanParagrafYazTipi"/>
    <w:rsid w:val="00BE637D"/>
  </w:style>
  <w:style w:type="paragraph" w:customStyle="1" w:styleId="ortabalkbold">
    <w:name w:val="ortabalkbold"/>
    <w:basedOn w:val="Normal"/>
    <w:rsid w:val="001B212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518</Words>
  <Characters>2959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 SEKİN</cp:lastModifiedBy>
  <cp:revision>3</cp:revision>
  <dcterms:created xsi:type="dcterms:W3CDTF">2020-01-07T08:36:00Z</dcterms:created>
  <dcterms:modified xsi:type="dcterms:W3CDTF">2020-01-07T08:57:00Z</dcterms:modified>
</cp:coreProperties>
</file>